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/>
    <w:p>
      <w:pPr>
        <w:spacing w:after="80"/>
        <w:jc w:val="center"/>
      </w:pPr>
      <w:r>
        <w:rPr>
          <w:rFonts w:ascii="TH Sarabun New" w:hAnsi="TH Sarabun New" w:cs="TH Sarabun New"/>
          <w:b/>
          <w:sz w:val="44"/>
        </w:rPr>
        <w:t>รายงานการศึกษาและวิเคราะห์การจราจรด้วยแบบจำลองระดับจุลภาค</w:t>
      </w:r>
    </w:p>
    <w:p>
      <w:pPr>
        <w:spacing w:after="80"/>
        <w:jc w:val="center"/>
      </w:pPr>
      <w:r>
        <w:rPr>
          <w:rFonts w:ascii="TH Sarabun New" w:hAnsi="TH Sarabun New" w:cs="TH Sarabun New"/>
          <w:b/>
          <w:sz w:val="40"/>
        </w:rPr>
        <w:t>การแก้ไขปัญหาจุดตัดกระแสจราจรบนทางขนาน ทางหลวงหมายเลข 35 (ถนนพระราม 2)</w:t>
      </w:r>
    </w:p>
    <w:p>
      <w:pPr>
        <w:spacing w:after="400"/>
        <w:jc w:val="center"/>
      </w:pPr>
      <w:r>
        <w:rPr>
          <w:rFonts w:ascii="TH Sarabun New" w:hAnsi="TH Sarabun New" w:cs="TH Sarabun New"/>
          <w:b/>
          <w:sz w:val="40"/>
        </w:rPr>
        <w:t>บริเวณแยกถนนเศรษฐกิจ 1 (ทางหลวงหมายเลข 3091) อำเภอเมืองสมุทรสาคร</w:t>
      </w:r>
    </w:p>
    <w:p>
      <w:pPr>
        <w:spacing w:after="600"/>
        <w:jc w:val="center"/>
      </w:pPr>
      <w:r>
        <w:rPr>
          <w:rFonts w:ascii="TH Sarabun New" w:hAnsi="TH Sarabun New" w:cs="TH Sarabun New"/>
          <w:b/>
          <w:sz w:val="38"/>
        </w:rPr>
        <w:t>ข้อเสนอ: ทางเลือก S7 — ทางลัด + บล็อกช่องจราจร</w:t>
      </w:r>
    </w:p>
    <w:p>
      <w:pPr>
        <w:spacing w:after="40"/>
        <w:jc w:val="center"/>
      </w:pPr>
      <w:r>
        <w:rPr>
          <w:rFonts w:ascii="TH Sarabun New" w:hAnsi="TH Sarabun New" w:cs="TH Sarabun New"/>
          <w:b w:val="0"/>
          <w:sz w:val="32"/>
        </w:rPr>
        <w:t>จัดทำโดย</w:t>
      </w:r>
    </w:p>
    <w:p>
      <w:pPr>
        <w:spacing w:after="400"/>
        <w:jc w:val="center"/>
      </w:pPr>
      <w:r>
        <w:rPr>
          <w:rFonts w:ascii="TH Sarabun New" w:hAnsi="TH Sarabun New" w:cs="TH Sarabun New"/>
          <w:b/>
          <w:sz w:val="36"/>
        </w:rPr>
        <w:t>สำนักสำรวจและออกแบบ กรมทางหลวง</w:t>
      </w:r>
    </w:p>
    <w:p>
      <w:pPr>
        <w:spacing w:after="80"/>
        <w:jc w:val="center"/>
      </w:pPr>
      <w:r>
        <w:rPr>
          <w:rFonts w:ascii="TH Sarabun New" w:hAnsi="TH Sarabun New" w:cs="TH Sarabun New"/>
          <w:b w:val="0"/>
          <w:sz w:val="30"/>
        </w:rPr>
        <w:t>ประมวลผลจากแบบจำลอง PTV Vissim 2025 — 9 สถานการณ์ × 10 seeds รวม 90 รอบการจำลอง</w:t>
      </w:r>
    </w:p>
    <w:p>
      <w:pPr>
        <w:spacing w:after="120"/>
        <w:jc w:val="center"/>
      </w:pPr>
      <w:r>
        <w:rPr>
          <w:rFonts w:ascii="TH Sarabun New" w:hAnsi="TH Sarabun New" w:cs="TH Sarabun New"/>
          <w:b w:val="0"/>
          <w:sz w:val="30"/>
        </w:rPr>
        <w:t>วันที่จัดทำรายงาน 11/09/2569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สารบัญ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1. บทสรุปผู้บริหาร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2. บทนำ วัตถุประสงค์ และขอบเขต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3. สภาพพื้นที่ศึกษา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4. ข้อมูลจราจรและอุบัติเหตุ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5. การวิเคราะห์ปัญหา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6. แบบจำลองจราจร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7. ผลการจำลองและการเปรียบเทียบทางเลือก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8. ทางเลือกที่เสนอ (S7) และแบบเบื้องต้น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9. ข้อจำกัดและงานที่ต้องดำเนินการต่อ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ภาคผนวก ก — สมมติฐานหลัก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ภาคผนวก ข — ผลรายละเอียดและไฟล์ข้อมูล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ภาคผนวก ค — บันทึกการปรับเทียบพฤติกรรมแบบจำลอง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ภาคผนวก ง — วิธีคำนวณตัวชี้วัดความปลอดภัย</w:t>
      </w:r>
    </w:p>
    <w:p>
      <w:pPr>
        <w:spacing w:after="80"/>
        <w:ind w:left="454"/>
        <w:jc w:val="both"/>
      </w:pPr>
      <w:r>
        <w:rPr>
          <w:rFonts w:ascii="TH Sarabun New" w:hAnsi="TH Sarabun New" w:cs="TH Sarabun New"/>
          <w:b w:val="0"/>
          <w:sz w:val="32"/>
        </w:rPr>
        <w:t>ภาคผนวก จ — ที่มาข้อมูลและเครื่องมือ</w:t>
      </w:r>
    </w:p>
    <w:p>
      <w:pPr>
        <w:spacing w:after="80"/>
        <w:jc w:val="both"/>
      </w:pPr>
      <w:r>
        <w:rPr>
          <w:rFonts w:ascii="TH Sarabun New" w:hAnsi="TH Sarabun New" w:cs="TH Sarabun New"/>
          <w:b w:val="0"/>
          <w:sz w:val="26"/>
        </w:rPr>
        <w:t>หมายเหตุ: ไฟล์ฉบับ Word สามารถแทรกสารบัญพร้อมเลขหน้าอัตโนมัติได้จากเมนู References &gt; Table of Contents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1. บทสรุปผู้บริหาร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1.1 ปัญหา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ทางขนานขาออกของทางหลวงหมายเลข 35 (ถนนพระราม 2) ช่วงก่อนแยกถนนเศรษฐกิจ 1 มีจุดตัดกระแสจราจร (weaving) ระยะเพียง 38 เมตร ระหว่างรถที่ลงจากสะพานข้ามแยกกับรถบนทางขนาน เมื่อมีการติดตั้งแบริเออร์ปิดจุดตัดดังกล่าวเพื่อความปลอดภัย รถบนทางขนานที่ต้องการตรงไปจึงถูกบังคับให้เลี้ยวซ้าย แล้ววนกลับรถเป็นระยะทางเพิ่มขึ้นประมาณ 211 เมตร ทำให้เกิดแถวคอยสะสมยาวและข้อร้องเรียนจากผู้ใช้ทาง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ผลการจำลองสภาพปัจจุบันยืนยันความรุนแรงของปัญหา: ความล่าช้าเฉลี่ย 126 วินาทีต่อคัน แถวคอยบนทางขนานยาวถึง 1,077 เมตร และแถวคอยที่ปลายสะพานลง 842 เมตร โดยมีรถประมาณ 396 คันต่อชั่วโมงที่ไม่สามารถเข้าสู่พื้นที่ศึกษาได้เลยในชั่วโมงเร่งด่วน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1.2 หลักฐาน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ปริมาณจราจร: ทล.35 ตอน 0201 AADT 143,116 คัน/วัน (รถหนัก 38.32 %) และ ทล.3091 ตอน 0100 AADT 37,588 คัน/วัน (รถหนัก 7.46 %) แปลงเป็นชั่วโมงเร่งด่วนด้วย K = 0.08, D = 0.55 ได้ 13,803 คัน/ชั่วโมง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อุบัติเหตุ: 31 ครั้งในรัศมี 400 เมตร ระหว่างปี 2561–2565 มีผู้เสียชีวิต 3 ราย คิดเป็นประมาณ 4.6 เท่าของค่าเฉลี่ยตอนควบคุม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แบบจำลอง: PTV Vissim 2025 ควบคุมผ่าน COM ทั้งหมด เรขาคณิตตรวจสอบกับ OpenStreetMap และ ภาพถ่ายดาวเทียม คลาดเคลื่อนน้อยกว่า 1 เซนติเมตร ยืดความยาวโครงข่ายรวม 17.3 กิโลเมตร เพื่อให้แถวคอยสะสมอยู่ในแบบจำลองได้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ความน่าเชื่อถือทางสถิติ: ทุกสถานการณ์จำลอง 10 seeds เปรียบเทียบรายคู่แบบจับคู่ตาม seed เดียวกัน (paired t-test) และรายงานค่าเฉลี่ยพร้อมช่วงเชื่อมั่น 95 %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1.3 ทางเลือกที่ศึกษา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1-1 สรุปทางเลือกและผลการจำลองหลัก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938"/>
        <w:gridCol w:w="1938"/>
        <w:gridCol w:w="1938"/>
        <w:gridCol w:w="1938"/>
        <w:gridCol w:w="1938"/>
      </w:tblGrid>
      <w:tr>
        <w:tc>
          <w:tcPr>
            <w:tcW w:type="dxa" w:w="2608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ทางเลือก</w:t>
            </w:r>
          </w:p>
        </w:tc>
        <w:tc>
          <w:tcPr>
            <w:tcW w:type="dxa" w:w="3061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สาระสำคัญ</w:t>
            </w:r>
          </w:p>
        </w:tc>
        <w:tc>
          <w:tcPr>
            <w:tcW w:type="dxa" w:w="130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ล่าช้า (วิ/คัน)</w:t>
            </w:r>
          </w:p>
        </w:tc>
        <w:tc>
          <w:tcPr>
            <w:tcW w:type="dxa" w:w="1361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ระบาย (คัน/ชม.)</w:t>
            </w:r>
          </w:p>
        </w:tc>
        <w:tc>
          <w:tcPr>
            <w:tcW w:type="dxa" w:w="130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คิวจุดกลับรถ (ม.)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S0 ก่อนปิดแบริเออร์ (ย้อนอดีต)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ก่อนปิด (ย้อนอดีต)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32.0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13,844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14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S1 สภาพปัจจุบัน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ปัจจุบัน (ปิดด้วยแบริเออร์)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125.9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12,213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267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S2 ทางเลือก D + ทางลัด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ทางเลือก D + เลี้ยวขวาท่าปรง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34.4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13,750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4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S3 ทางเลือก D + ป้ายหยุด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S2 + สัญญาณไฟจุดเลี้ยวขวา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175.1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11,771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447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S5 ทางลัดเลี้ยวขวาตัดใหม่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ปัจจุบัน + ทางลัดเลี้ยวขวาตัดใหม่ผ่านเกาะ (ไม่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57.7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13,395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S6 ปัจจุบัน + บล็อกช่องจราจร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ปัจจุบัน + บล็อกเลนทางหลักก่อนจุดกลับรถ (ขจัดก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157.6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11,659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575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S7 ทางลัด + บล็อกช่องจราจร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ปัจจุบัน + ทางลัดเลี้ยวขวา + บล็อกเลนทางหลัก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59.4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13,356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S8 ทางลัด + ช่องเร่งความเร็ว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ปัจจุบัน + ทางลัดเลี้ยวขวา + ช่องเร่งความเร็วจ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57.0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13,423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12</w:t>
            </w:r>
          </w:p>
        </w:tc>
      </w:tr>
      <w:tr>
        <w:tc>
          <w:tcPr>
            <w:tcW w:type="dxa" w:w="260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S9 ช่องเร่งความเร็วอย่างเดียว</w:t>
            </w:r>
          </w:p>
        </w:tc>
        <w:tc>
          <w:tcPr>
            <w:tcW w:type="dxa" w:w="30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ปัจจุบัน + ช่องเร่งความเร็วจากลูป (มาตรการเดี่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102.3</w:t>
            </w:r>
          </w:p>
        </w:tc>
        <w:tc>
          <w:tcPr>
            <w:tcW w:type="dxa" w:w="136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12,611</w:t>
            </w:r>
          </w:p>
        </w:tc>
        <w:tc>
          <w:tcPr>
            <w:tcW w:type="dxa" w:w="130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201</w:t>
            </w:r>
          </w:p>
        </w:tc>
      </w:tr>
    </w:tbl>
    <w:p>
      <w:pPr>
        <w:spacing w:after="80"/>
      </w:pP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1.4 ข้อเสนอ</w:t>
      </w:r>
    </w:p>
    <w:p>
      <w:pPr>
        <w:spacing w:after="120"/>
        <w:jc w:val="both"/>
      </w:pPr>
      <w:r>
        <w:rPr>
          <w:rFonts w:ascii="TH Sarabun New" w:hAnsi="TH Sarabun New" w:cs="TH Sarabun New"/>
          <w:b/>
          <w:sz w:val="32"/>
        </w:rPr>
        <w:t>คณะผู้จัดทำเสนอ S7 ทางลัด + บล็อกช่องจราจร ประกอบด้วยสองมาตรการที่ทำพร้อมกัน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เปิดทางลัดเลี้ยวขวาตัดใหม่ผ่านเกาะกลางถนนเศรษฐกิจ 1 เพื่อให้รถที่เดิมต้องวนกลับรถ 211 เมตร เลี้ยวขวาได้โดยตรง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ตีเส้นทแยง (hatching) บล็อกช่องจราจรริมซ้ายของถนนเศรษฐกิจ 1 ขาใต้ ในช่วงก่อนจุดที่รถจากลูปกลับรถเข้าสมทบ เพื่อให้รถจากลูปมีช่องจราจรเฉพาะ ไม่ต้องเบียดเข้ากระแสหลักอย่างกะทันหัน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ผลที่ได้เทียบสภาพปัจจุบัน: ความล่าช้าลดจาก 126 เหลือ 59 วินาทีต่อคัน (ลดลง 53 %) ระบายรถได้เพิ่มขึ้น 1,143 คันต่อชั่วโมง แถวคอยที่จุดกลับรถลดจาก 267 เมตรเหลือ 0 เมตร และเหตุการณ์เกือบชนแบบตัดกระแส (ประเภทที่สัมพันธ์กับการบาดเจ็บรุนแรงที่สุด) ต่ำที่สุดในบรรดาทางเลือกทั้งหมดที่ 156 ครั้งต่อชั่วโมง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1.5 งบประมาณและระยะเวลา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1-2 ประมาณการค่าก่อสร้างเบื้องต้น S7 ทางลัด + บล็อกช่องจราจร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4819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รายการ</w:t>
            </w:r>
          </w:p>
        </w:tc>
        <w:tc>
          <w:tcPr>
            <w:tcW w:type="dxa" w:w="181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ปริมาณงานโดยประมาณ</w:t>
            </w:r>
          </w:p>
        </w:tc>
        <w:tc>
          <w:tcPr>
            <w:tcW w:type="dxa" w:w="181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ราคา (ล้านบาท)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งานเตรียมการ รื้อถอนเกาะกลางเดิม และงานจราจรชั่วคราว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0.80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งานดินและชั้นทางช่วงตัดใหม่ (ประมาณ 280 ตารางเมตร)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0.90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งานผิวทางแอสฟัลต์คอนกรีต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0.60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งานคันหินและปรับรูปเกาะกลางใหม่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0.90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งานระบบระบายน้ำและบ่อพัก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1.20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งานไฟฟ้าแสงสว่างบริเวณจุดตัด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1.40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งานป้ายจราจรและเครื่องหมายจราจร รวมเส้นทแยงบล็อกช่องจราจร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1.10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อุปกรณ์อำนวยความปลอดภัย (การ์ดเรล หลักนำทาง ตัวสะท้อนแสง)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0.90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งานจราจรระหว่างก่อสร้างและป้ายเตือน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0.70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รวมค่างานโดยตรง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8.50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ค่าอำนวยการ กำไร และค่าเผื่อ (25 %)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2.12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รวมทั้งสิ้น (ไม่รวมภาษีมูลค่าเพิ่มและค่าเวนคืน)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10.62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รวมประมาณ 10.6 ล้านบาท ระยะเวลาดำเนินการรวมประมาณ 9 เดือน (ออกแบบรายละเอียดและสำรวจเพิ่มเติม 4 เดือน จัดซื้อจัดจ้าง 2 เดือน ก่อสร้าง 3 เดือน) รายละเอียดในหัวข้อที่ 8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2. บทนำ วัตถุประสงค์ และขอบเขต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2.1 ความเป็นมา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จุดตัดกระแสจราจรบนทางขนานทางหลวงหมายเลข 35 บริเวณแยกถนนเศรษฐกิจ 1 เป็นจุดที่มีสถิติอุบัติเหตุสูง กรมทางหลวงได้ติดตั้งแบริเออร์ปิดจุดตัดเพื่อลดอุบัติเหตุ ต่อมาได้รับข้อร้องเรียนจากผู้ใช้ทางเรื่องระยะทางที่เพิ่มขึ้น และแถวคอยสะสม จึงจำเป็นต้องศึกษาเชิงปริมาณเพื่อหาทางเลือกที่รักษาระดับความปลอดภัยไว้ได้ ขณะที่ลดภาระของผู้ใช้ทาง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2.2 วัตถุประสงค์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สร้างแบบจำลองจราจรระดับจุลภาคที่สะท้อนสภาพจริงของพื้นที่ศึกษา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ประเมินสภาพปัจจุบันเชิงปริมาณ ทั้งด้านการจราจรและความปลอดภัย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เปรียบเทียบทางเลือกการปรับปรุงด้วยตัวชี้วัดเดียวกันและวิธีทางสถิติที่ตรวจสอบได้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เสนอทางเลือกที่เหมาะสมพร้อมแบบเบื้องต้น ประมาณราคา และแผนดำเนินการ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2.3 ขอบเขตการศึกษา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พื้นที่ศึกษา: ทางหลวงหมายเลข 35 ช่วงหน้าแยกเศรษฐกิจ 1 รวมทางขนานทั้งสองทิศทาง สะพานข้ามแยก ถนนเศรษฐกิจ 1 และถนนคู่ขนาน ความยาวโครงข่ายรวม 17.3 กิโลเมตร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ช่วงเวลา: ชั่วโมงเร่งด่วนเย็น ปริมาณจราจรเข้าพื้นที่ศึกษา 13,803 คันต่อชั่วโมง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เวลาจำลอง 4,500 วินาทีต่อรอบ (อุ่นเครื่อง 900 วินาที) ความละเอียด 10 ขั้นต่อวินาที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ไม่รวม: การวิเคราะห์โครงสร้างสะพาน งานระบบไฟฟ้าแสงสว่างรายละเอียด การเวนคืน และการวิเคราะห์ผลกระทบสิ่งแวดล้อม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3. สภาพพื้นที่ศึกษา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ทางหลวงหมายเลข 35 ในพื้นที่ศึกษามีขนาด 3 + 3 ช่องจราจร ช่องละ 3.50 เมตร ไหล่ทาง 3.00 เมตร เกาะกลาง 11 เมตร เขตทาง 70 เมตร (ด้านซ้าย 40 เมตร ด้านขวา 30 เมตร) ทางขนานขาออกมี 3 ช่องจราจร และลดเหลือ 2 ช่องบริเวณก่อนจุดตัด ส่วนทางหลวงหมายเลข 3091 (ถนนเศรษฐกิจ 1) มีขนาด 3 + 3 ช่องจราจร เกาะกลาง 4.20 เมตร เขตทาง 30 เมตร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ปัจจุบันมีการก่อสร้างทางหลวงพิเศษระหว่างเมืองหมายเลข 82 (M82) คร่อมแนวทางหลวงหมายเลข 35 การออกแบบทางเลือกจึงต้องพิจารณาความเข้ากันได้กับตำแหน่งเสาและพื้นที่ก่อสร้างของโครงการดังกล่าว ซึ่งเป็นหนึ่งในเกณฑ์ของตารางตัดสินใจในหัวข้อที่ 7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247796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hot_S1_weave38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4779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3-1 จุดตัดกระแส 38 เมตร สภาพปัจจุบัน (S1) จากแบบจำลองซ้อนภาพถ่ายดาวเทียม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247796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hot_S1_uturn21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4779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3-2 จุดกลับรถที่รถจากทางขนานต้องใช้ในสภาพปัจจุบัน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4. ข้อมูลจราจรและอุบัติเหตุ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4-1 ข้อมูลทางหลวงจากชั้นข้อมูล ROADNET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3402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8"/>
              </w:rPr>
              <w:t>รายการ</w:t>
            </w:r>
          </w:p>
        </w:tc>
        <w:tc>
          <w:tcPr>
            <w:tcW w:type="dxa" w:w="2608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8"/>
              </w:rPr>
              <w:t>ทล.35 ตอน 0201</w:t>
            </w:r>
          </w:p>
        </w:tc>
        <w:tc>
          <w:tcPr>
            <w:tcW w:type="dxa" w:w="2608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8"/>
              </w:rPr>
              <w:t>ทล.3091 ตอน 0100</w:t>
            </w:r>
          </w:p>
        </w:tc>
      </w:tr>
      <w:tr>
        <w:tc>
          <w:tcPr>
            <w:tcW w:type="dxa" w:w="3402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AADT (คัน/วัน)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143,116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37,588</w:t>
            </w:r>
          </w:p>
        </w:tc>
      </w:tr>
      <w:tr>
        <w:tc>
          <w:tcPr>
            <w:tcW w:type="dxa" w:w="3402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สัดส่วนรถหนัก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38.32 %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7.46 %</w:t>
            </w:r>
          </w:p>
        </w:tc>
      </w:tr>
      <w:tr>
        <w:tc>
          <w:tcPr>
            <w:tcW w:type="dxa" w:w="3402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ขนาดทาง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3 + 3 ช่องจราจร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3 + 3 ช่องจราจร</w:t>
            </w:r>
          </w:p>
        </w:tc>
      </w:tr>
      <w:tr>
        <w:tc>
          <w:tcPr>
            <w:tcW w:type="dxa" w:w="3402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เกาะกลาง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11.00 ม.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4.20 ม.</w:t>
            </w:r>
          </w:p>
        </w:tc>
      </w:tr>
      <w:tr>
        <w:tc>
          <w:tcPr>
            <w:tcW w:type="dxa" w:w="3402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เขตทาง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70 ม. (40/30)</w:t>
            </w:r>
          </w:p>
        </w:tc>
        <w:tc>
          <w:tcPr>
            <w:tcW w:type="dxa" w:w="260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8"/>
              </w:rPr>
              <w:t>30 ม.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การแปลงเป็นปริมาณชั่วโมงเร่งด่วนใช้ K = 0.08 และ D = 0.55 ได้ปริมาณเข้าพื้นที่ศึกษารวม 13,803 คันต่อชั่วโมง กระจายตามโปรไฟล์ 15 นาที 0.22 / 0.26 / 0.28 / 0.24 และแยกชนิดรถ 6 ประเภทตามสัดส่วนจริง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ข้อมูลอุบัติเหตุจากชั้นข้อมูล v_acccase ปี 2561–2565 พบอุบัติเหตุ 31 ครั้งในรัศมี 400 เมตรรอบจุดตัด มีผู้เสียชีวิต 3 ราย ค่าเฉลี่ย 6.2 ครั้งต่อปี ตัวเลขนี้ถูกนำมาใช้ปรับเทียบ (calibrate) อัตราแปลงเหตุการณ์เกือบชนเป็นอุบัติเหตุในหัวข้อที่ 7.3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ข้อจำกัดของข้อมูล: ช่วงข้อมูลอุบัติเหตุอาจคาบเกี่ยวทั้งก่อนและหลังการติดตั้งแบริเออร์ และยังไม่มีข้อมูลหลังปี 2565 จึงยังไม่สามารถประเมินผลของแบริเออร์จากสถิติจริงได้โดยตรง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5. การวิเคราะห์ปัญหา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5.1 ระยะจุดตัดกระแสที่ไม่เพียงพอ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ระยะจุดตัดกระแสเดิมระหว่างปลายสะพานลงกับจุดแยกเข้าถนนเศรษฐกิจ 1 มีเพียง 38 เมตร ซึ่งสั้นกว่าระยะที่จำเป็นสำหรับการเปลี่ยนช่องจราจรอย่างปลอดภัยที่ความเร็ว 50–60 กิโลเมตรต่อชั่วโมงอย่างมาก ผลคือผู้ขับขี่ต้องตัดสินใจเปลี่ยนช่องในระยะสั้น เกิดการเบียดกะทันหันและการชะลอตัวฉับพลัน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5.2 ต้นทุนของการอ้อม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ในสภาพปัจจุบัน รถบนทางขนานที่ต้องการตรงไปต้องเลี้ยวซ้ายแล้ววนกลับรถ ระยะทางเพิ่มขึ้นประมาณ 211 เมตร เวลาเดินทางบนเส้นทาง OD-a เพิ่มจาก 298 วินาที (สภาพก่อนปิด) เป็น 419 วินาที และเมื่อคิดรวมทั้งโครงข่าย ความล่าช้ารวมเพิ่มจาก 155 เป็น 608 ชั่วโมง-คนต่อชั่วโมงเร่งด่วน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5.3 จุดคอขวดที่แท้จริง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การวิเคราะห์วิถีรถรายคันชี้ว่าคอขวดไม่ได้อยู่ที่จุดตัดกระแสเพียงจุดเดียว แต่เกิดจากลูกโซ่ของสามจุดต่อกัน คือ (1) จุดบังคับเลี้ยวซ้ายปลายทางขนาน (2) จุดกลับรถบนถนนคู่ขนาน และ (3) จุดที่รถจากลูปกลับรถสมทบเข้าถนนเศรษฐกิจ 1 ขาใต้ เมื่อจุดที่สามติดขัด แถวคอยจะย้อนกลับไปปิดจุดที่สองและหนึ่งตามลำดับ ด้วยเหตุนี้มาตรการที่แก้เพียงจุดเดียวจึงได้ผลจำกัด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6. แบบจำลองจราจร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6.1 โครงข่ายและเรขาคณิต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สร้างด้วย PTV Vissim 2025 (25.00-10) ผ่าน COM ทั้งหมด ทุกค่าสมมติอยู่ในไฟล์ config เดียว ไม่มีการแก้ด้วยมือ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ตรวจสอบทุกเส้นทางกับ OpenStreetMap (ทิศทางเดินรถ จำนวนช่อง ตำแหน่งทางเชื่อมจริง) และทดสอบเส้นทางด้วย Google Maps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อ้างอิงพิกัดกับภาพถ่ายดาวเทียมที่ Vissim ใช้ (Mercator รัศมี 6,371,000 เมตร คูณ cos ละติจูดอ้างอิง) คลาดเคลื่อนสูงสุด 0.1 เซนติเมตร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ยืดความยาวเส้นทางเข้าออกให้รวม 17.3 กิโลเมตร เพื่อให้แถวคอยสะสมอยู่ภายในแบบจำลอง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6.2 ความต้องการเดินทางและองค์ประกอบรถ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ปล่อยรถเข้าโครงข่าย 7 จุด รวม 13,803 คันต่อชั่วโมง แบ่งเป็น 5 ช่วงเวลา ช่วงละ 15 นาที องค์ประกอบรถ 6 ชนิด ได้แก่ รถยนต์นั่ง รถบรรทุกเล็ก รถบรรทุกหนัก รถพ่วง รถโดยสาร และรถจักรยานยนต์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6.3 พฤติกรรมการขับขี่แบบไทย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ตั้งพฤติกรรมขับขี่ 4 ชุด (ทางหลัก Wiedemann 99, ทางขนาน Wiedemann 74, รถพ่วง และรถจักรยานยนต์ที่แทรกช่องได้) และปรับเกณฑ์การยอมรับช่องว่างที่จุดตัดให้ตรงกับพฤติกรรมคนขับไทย หลังจากผู้เชี่ยวชาญพื้นที่ตรวจภาพเคลื่อนไหว แล้วพบว่าแบบจำลองเดิมให้รถรอสอดเข้าช่องนานเกินจริง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6-1 พารามิเตอร์ที่ปรับให้ตรงกับพฤติกรรมคนขับไทย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4535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พารามิเตอร์</w:t>
            </w:r>
          </w:p>
        </w:tc>
        <w:tc>
          <w:tcPr>
            <w:tcW w:type="dxa" w:w="2268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ค่าตั้งต้น Vissim</w:t>
            </w:r>
          </w:p>
        </w:tc>
        <w:tc>
          <w:tcPr>
            <w:tcW w:type="dxa" w:w="2268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ค่าที่ใช้</w:t>
            </w:r>
          </w:p>
        </w:tc>
      </w:tr>
      <w:tr>
        <w:tc>
          <w:tcPr>
            <w:tcW w:type="dxa" w:w="45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ตัวคูณระยะปลอดภัยที่จุดตัด (SafDistFactDef)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1.50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1.00</w:t>
            </w:r>
          </w:p>
        </w:tc>
      </w:tr>
      <w:tr>
        <w:tc>
          <w:tcPr>
            <w:tcW w:type="dxa" w:w="45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ช่องว่างหน้า/หลังขั้นต่ำ (Front/RearGapDef)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0.50 / 0.50 วินาที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0.30 / 0.30 วินาที</w:t>
            </w:r>
          </w:p>
        </w:tc>
      </w:tr>
      <w:tr>
        <w:tc>
          <w:tcPr>
            <w:tcW w:type="dxa" w:w="45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การเบรกที่ยอมรับได้ของคันที่เบียด (AccDecelOwn)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−1.0 ม./วิ²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−2.5 ถึง −3.5 ม./วิ²</w:t>
            </w:r>
          </w:p>
        </w:tc>
      </w:tr>
      <w:tr>
        <w:tc>
          <w:tcPr>
            <w:tcW w:type="dxa" w:w="45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การเบรกที่คาดหวังจากคันตามหลัง (AccDecelTrail)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−1.0 ม./วิ²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−2.5 ถึง −3.5 ม./วิ²</w:t>
            </w:r>
          </w:p>
        </w:tc>
      </w:tr>
      <w:tr>
        <w:tc>
          <w:tcPr>
            <w:tcW w:type="dxa" w:w="45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เวลารอสูงสุดก่อนถูกลบออก (DiffusTm)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60 วินาที</w:t>
            </w:r>
          </w:p>
        </w:tc>
        <w:tc>
          <w:tcPr>
            <w:tcW w:type="dxa" w:w="226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60 วินาที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ผลการปรับเทียบวัดจากวิถีรถจริง: เวลาที่รถจอดนิ่งรอสอดเข้าช่อง (ค่ามัธยฐาน) ลดจาก 11.8 วินาที เหลือ 9.4 วินาที และสัดส่วนรถที่ต้องรอเกิน 10 วินาที ลดจากร้อยละ 54 เหลือร้อยละ 31 ซึ่งสอดคล้องกับการสังเกตพฤติกรรมจริง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6.4 การตรวจความสมเหตุสมผล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ตรวจไฟล์วิถีรถทั้ง 90 ไฟล์ด้วยเครื่องมืออัตโนมัติ (หัวตาราง ความต่อเนื่องของเวลา และความซ้ำของข้อมูล) ผ่านทั้งหมด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ตรวจทิศทางของทางเชื่อมทุกเส้นโดยอัตโนมัติ หลังพบข้อบกพร่องที่ทางเชื่อมหนึ่งเส้นวางทิศย้อนทาง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ความเร็วบนทางหลักขาเข้าที่ไม่ได้รับผลกระทบคงที่ทุกสถานการณ์ (71.5 กิโลเมตรต่อชั่วโมง) เป็นการยืนยันว่าผลต่างที่วัดได้มาจากมาตรการ ไม่ใช่ความแปรปรวนของแบบจำลอง</w:t>
      </w:r>
    </w:p>
    <w:p>
      <w:pPr>
        <w:spacing w:after="120"/>
        <w:jc w:val="both"/>
      </w:pPr>
      <w:r>
        <w:rPr>
          <w:rFonts w:ascii="TH Sarabun New" w:hAnsi="TH Sarabun New" w:cs="TH Sarabun New"/>
          <w:b/>
          <w:sz w:val="30"/>
        </w:rPr>
        <w:t>ข้อจำกัดสำคัญ: ยังไม่ได้ปรับเทียบด้วยข้อมูลนับปริมาณและความเร็วในสนามของช่วงเวลาเดียวกัน ผลจึงเหมาะกับการเปรียบเทียบทางเลือกมากกว่าการพยากรณ์ค่าสัมบูรณ์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7. ผลการจำลองและการเปรียบเทียบทางเลือก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7.1 ตัวชี้วัดด้านการจราจร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7-1 ตัวชี้วัดด้านการจราจร (ค่าเฉลี่ย 10 seeds)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69"/>
        <w:gridCol w:w="969"/>
        <w:gridCol w:w="969"/>
        <w:gridCol w:w="969"/>
        <w:gridCol w:w="969"/>
        <w:gridCol w:w="969"/>
        <w:gridCol w:w="969"/>
        <w:gridCol w:w="969"/>
        <w:gridCol w:w="969"/>
        <w:gridCol w:w="969"/>
      </w:tblGrid>
      <w:tr>
        <w:tc>
          <w:tcPr>
            <w:tcW w:type="dxa" w:w="2948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ตัวชี้วัด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S0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S1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S2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S3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S5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S6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S7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S8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S9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รถถึงปลายทาง (คัน/ชม.)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13,844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12,213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13,750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11,771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13,395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11,659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13,356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13,423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12,611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ความล่าช้าเฉลี่ย (วินาที/คัน)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32.0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125.9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34.4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175.1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57.7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157.6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59.4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57.0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102.3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ความเร็วเฉลี่ยโครงข่าย (กม./ชม.)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49.7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33.0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49.9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25.5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42.6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29.2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42.1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42.7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36.3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อุปสงค์ที่เข้าโครงข่ายไม่ได้ (คัน)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396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696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175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634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205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173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308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เวลาเดินทาง OD-a (วินาที)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298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419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279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1,600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392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410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393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389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379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เวลาเดินทาง OD-b (วินาที)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94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98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797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138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55</w:t>
            </w:r>
          </w:p>
        </w:tc>
      </w:tr>
    </w:tbl>
    <w:p>
      <w:pPr>
        <w:spacing w:after="80"/>
      </w:pP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40682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delay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4068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7-1 ความล่าช้าเฉลี่ยต่อคัน พร้อมช่วงเชื่อมั่น 95 %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32952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throughput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2952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7-2 ปริมาณรถที่ระบายได้ในชั่วโมงเร่งด่วน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7.2 แถวคอย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เครื่องมือวัดแถวคอยมาตรฐานของ Vissim จำกัดความยาวไว้ที่ 500 เมตร ซึ่งทำให้ทุกสถานการณ์ที่ติดขัดรายงานค่าเท่ากัน คณะผู้จัดทำจึงสร้างการวัดแถวคอยขึ้นใหม่จากวิถีรถจริงด้วยนิยามเดียวกัน แต่ไม่จำกัดความยาว และสามารถไล่ย้อนข้ามทางเชื่อมได้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7-2 แถวคอยสูงสุดวัดจากวิถีรถจริง (เมตร)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69"/>
        <w:gridCol w:w="969"/>
        <w:gridCol w:w="969"/>
        <w:gridCol w:w="969"/>
        <w:gridCol w:w="969"/>
        <w:gridCol w:w="969"/>
        <w:gridCol w:w="969"/>
        <w:gridCol w:w="969"/>
        <w:gridCol w:w="969"/>
        <w:gridCol w:w="969"/>
      </w:tblGrid>
      <w:tr>
        <w:tc>
          <w:tcPr>
            <w:tcW w:type="dxa" w:w="2948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จุดวัด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S0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S1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S2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S3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S5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S6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S7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S8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S9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คิวทางขนาน ณ จุดแยก 38 ม.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180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1,077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252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1,608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249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222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791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คิวปลายสะพานลง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842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483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1,252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489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คิวจุดเลี้ยวซ้าย 323 ม.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439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คิวจุดเลี้ยวขวา (S2)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267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447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575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201</w:t>
            </w:r>
          </w:p>
        </w:tc>
      </w:tr>
    </w:tbl>
    <w:p>
      <w:pPr>
        <w:spacing w:after="80"/>
      </w:pP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294831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queu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948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7-3 แถวคอยสูงสุดรายจุดวัด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7.3 ความปลอดภัย (ตัวชี้วัดทดแทนตามมาตรฐาน FHWA SSAM)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ใช้ตัวชี้วัดทดแทนตามนิยาม FHWA SSAM โดยนับเหตุการณ์ที่เวลาถึงจุดชน (TTC) ไม่เกิน 1.5 วินาที และคำนวณเวลาผ่านจุดเดียวกัน (PET) เกณฑ์ 5.0 วินาที จำแนกประเภทตามมุมระหว่างทิศทาง (ชนท้ายน้อยกว่า 30 องศา ตัดกระแสมากกว่า 85 องศา) ในรัศมี 400 เมตรรอบจุดตัด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ต้องอ่านตัวเลขเป็น 3 ชั้น เพราะในภาวะรถติดหนัก รถที่คลานในแถวคอยทำให้ TTC ต่ำกว่าเกณฑ์แทบทุกคู่ ทั้งที่ความเร็วต่ำมากและไม่ได้สะท้อนความเสี่ยงจริง ชั้นที่ใช้ตัดสินคือชั้นกรองแถวคอยและประเภทของเหตุการณ์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7-3 ตัวชี้วัดความปลอดภัย (ค่าเฉลี่ย 10 seeds)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69"/>
        <w:gridCol w:w="969"/>
        <w:gridCol w:w="969"/>
        <w:gridCol w:w="969"/>
        <w:gridCol w:w="969"/>
        <w:gridCol w:w="969"/>
        <w:gridCol w:w="969"/>
        <w:gridCol w:w="969"/>
        <w:gridCol w:w="969"/>
        <w:gridCol w:w="969"/>
      </w:tblGrid>
      <w:tr>
        <w:tc>
          <w:tcPr>
            <w:tcW w:type="dxa" w:w="2948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ตัวชี้วัด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S0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S1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S2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S3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S5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S6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S7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S8</w:t>
            </w:r>
          </w:p>
        </w:tc>
        <w:tc>
          <w:tcPr>
            <w:tcW w:type="dxa" w:w="76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3"/>
              </w:rPr>
              <w:t>S9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conflict ต่อชั่วโมง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5,767.4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5,546.5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6,258.6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32,038.6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5,389.2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1,952.5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6,146.9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6,457.9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7,054.7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conflict กรองแถวคอยแล้ว ต่อชั่วโมง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5,085.4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4,716.7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5,875.5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19,328.1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4,201.6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1,550.2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4,775.6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5,060.2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5,952.4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conflict รุนแรงต่อชั่วโมง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3,840.2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3,802.9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4,899.3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11,775.0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2,766.6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1,119.1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2,970.8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3,230.2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4,667.5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ชนท้าย/ชม.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4,957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4,805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4,252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26,136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4,687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1,672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5,430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5,660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5,216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ตัดกระแส/ชม.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90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250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695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2,551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212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156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254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821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เปลี่ยนช่อง-รวมกระแส/ชม.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716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488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1,308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3,330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486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244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557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539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1,013</w:t>
            </w:r>
          </w:p>
        </w:tc>
      </w:tr>
      <w:tr>
        <w:tc>
          <w:tcPr>
            <w:tcW w:type="dxa" w:w="294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DeltaS เฉลี่ย (กม./ชม.)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22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26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20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23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18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19</w:t>
            </w:r>
          </w:p>
        </w:tc>
        <w:tc>
          <w:tcPr>
            <w:tcW w:type="dxa" w:w="76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3"/>
              </w:rPr>
              <w:t>25</w:t>
            </w:r>
          </w:p>
        </w:tc>
      </w:tr>
    </w:tbl>
    <w:p>
      <w:pPr>
        <w:spacing w:after="80"/>
      </w:pP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266024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crossing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660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7-4 เหตุการณ์ตัดกระแส ซึ่งเป็นประเภทที่สัมพันธ์กับการบาดเจ็บรุนแรง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การปรับเทียบเป็นอุบัติเหตุต่อปี: ใช้ข้อมูลจริง 6.2 ครั้งต่อปีของสภาพปัจจุบันเป็นฐาน ได้อัตราแปลงประมาณ 2.2 × 10⁻⁶ อุบัติเหตุต่อหนึ่งเหตุการณ์เกือบชน ซึ่งต่ำกว่าช่วงในวรรณกรรมต่างประเทศ (1e-05–5e-05) ประมาณ 4–22 เท่า สะท้อนว่าเหตุการณ์ส่วนใหญ่ในพื้นที่นี้เกิดที่ความเร็วต่ำ ตัวเลขอุบัติเหตุคาดการณ์จึงใช้เปรียบเทียบทางเลือกได้ แต่ไม่ควรใช้เป็นการพยากรณ์จำนวนอุบัติเหตุ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7.4 ตารางตัดสินใจ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ถ่วงน้ำหนักตามที่กำหนดไว้: ความปลอดภัย 35 ความล่าช้า 25 ค่าก่อสร้าง 15 ผลกระทบผู้ใช้ทางกลุ่มที่เสียประโยชน์ 15 และความเข้ากันได้กับโครงการ M82 10 สองเกณฑ์แรกคำนวณจากผลจำลอง อีกสามเกณฑ์เป็นดุลพินิจเชิงวิศวกรรมที่ระบุสมมติฐานไว้ในภาคผนวก ก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7-4 คะแนนตารางตัดสินใจ (100 = ดีที่สุดในกลุ่มที่เปรียบเทียบ)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077"/>
        <w:gridCol w:w="1077"/>
      </w:tblGrid>
      <w:tr>
        <w:tc>
          <w:tcPr>
            <w:tcW w:type="dxa" w:w="2835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เกณฑ์ (น้ำหนัก)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S5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S7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S8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S9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S2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S1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S6</w:t>
            </w:r>
          </w:p>
        </w:tc>
        <w:tc>
          <w:tcPr>
            <w:tcW w:type="dxa" w:w="79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S3</w:t>
            </w:r>
          </w:p>
        </w:tc>
      </w:tr>
      <w:tr>
        <w:tc>
          <w:tcPr>
            <w:tcW w:type="dxa" w:w="28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ความปลอดภัย (35)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93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94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56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58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62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81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22</w:t>
            </w:r>
          </w:p>
        </w:tc>
      </w:tr>
      <w:tr>
        <w:tc>
          <w:tcPr>
            <w:tcW w:type="dxa" w:w="28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ความล่าช้า (25)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81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79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82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53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100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38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11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0</w:t>
            </w:r>
          </w:p>
        </w:tc>
      </w:tr>
      <w:tr>
        <w:tc>
          <w:tcPr>
            <w:tcW w:type="dxa" w:w="28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ค่าก่อสร้าง (15)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70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68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60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40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100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38</w:t>
            </w:r>
          </w:p>
        </w:tc>
      </w:tr>
      <w:tr>
        <w:tc>
          <w:tcPr>
            <w:tcW w:type="dxa" w:w="28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ผลกระทบผู้ใช้ (15)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78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76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45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20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15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45</w:t>
            </w:r>
          </w:p>
        </w:tc>
      </w:tr>
      <w:tr>
        <w:tc>
          <w:tcPr>
            <w:tcW w:type="dxa" w:w="28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เข้ากับ M82 (10)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45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100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90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45</w:t>
            </w:r>
          </w:p>
        </w:tc>
      </w:tr>
      <w:tr>
        <w:tc>
          <w:tcPr>
            <w:tcW w:type="dxa" w:w="283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คะแนนรวม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83.6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82.7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81.3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68.0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62.5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59.1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56.7</w:t>
            </w:r>
          </w:p>
        </w:tc>
        <w:tc>
          <w:tcPr>
            <w:tcW w:type="dxa" w:w="79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4"/>
              </w:rPr>
              <w:t>24.8</w:t>
            </w:r>
          </w:p>
        </w:tc>
      </w:tr>
    </w:tbl>
    <w:p>
      <w:pPr>
        <w:spacing w:after="80"/>
      </w:pP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34747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decision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474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7-5 คะแนนรวมแยกส่วนตามเกณฑ์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342522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value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4252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7-6 ความคุ้มค่า: เงินลงทุนเทียบกับความล่าช้าที่ลดได้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ผลการจัดอันดับ: S5 (83.6) &gt; S7 (82.7) &gt; S8 (81.3) &gt; S9 (68.0) โดยสามอันดับแรกต่างกันไม่ถึง 3 คะแนน จึงถือว่าเทียบเท่ากันในทางปฏิบัติ การเลือก S7 จึงตัดสินด้วยเหตุผลด้านความปลอดภัยซึ่งมีน้ำหนักสูงสุด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7.5 ผลการทดสอบทางสถิติ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เปรียบเทียบรายคู่แบบจับคู่ตาม seed เดียวกัน ซึ่งหักล้างความแปรปรวนจากการสุ่มออกไป ผลที่สำคัญ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7-5 ผลการทดสอบ paired t-test คู่ที่สำคัญ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15"/>
        <w:gridCol w:w="1615"/>
        <w:gridCol w:w="1615"/>
        <w:gridCol w:w="1615"/>
        <w:gridCol w:w="1615"/>
        <w:gridCol w:w="1615"/>
      </w:tblGrid>
      <w:tr>
        <w:tc>
          <w:tcPr>
            <w:tcW w:type="dxa" w:w="1701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คู่เปรียบเทียบ</w:t>
            </w:r>
          </w:p>
        </w:tc>
        <w:tc>
          <w:tcPr>
            <w:tcW w:type="dxa" w:w="2608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ตัวชี้วัด</w:t>
            </w:r>
          </w:p>
        </w:tc>
        <w:tc>
          <w:tcPr>
            <w:tcW w:type="dxa" w:w="1247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ค่า A</w:t>
            </w:r>
          </w:p>
        </w:tc>
        <w:tc>
          <w:tcPr>
            <w:tcW w:type="dxa" w:w="1247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ค่า B</w:t>
            </w:r>
          </w:p>
        </w:tc>
        <w:tc>
          <w:tcPr>
            <w:tcW w:type="dxa" w:w="1247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ผลต่าง</w:t>
            </w:r>
          </w:p>
        </w:tc>
        <w:tc>
          <w:tcPr>
            <w:tcW w:type="dxa" w:w="1361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4"/>
              </w:rPr>
              <w:t>นัยสำคัญ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ผลสำคัญเพิ่มเติม: เหตุการณ์ตัดกระแสของ S7 ต่ำกว่า S5 อย่างมีนัยสำคัญทางสถิติ (ลดลงประมาณร้อยละ 26, p &lt; 0.05) ซึ่งเป็นเหตุผลหลักที่เลือก S7 แทน S5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8. ทางเลือกที่เสนอ (S7) และแบบเบื้องต้น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8.1 องค์ประกอบของทางเลือก</w:t>
      </w:r>
    </w:p>
    <w:p>
      <w:pPr>
        <w:spacing w:after="120"/>
        <w:jc w:val="both"/>
      </w:pPr>
      <w:r>
        <w:rPr>
          <w:rFonts w:ascii="TH Sarabun New" w:hAnsi="TH Sarabun New" w:cs="TH Sarabun New"/>
          <w:b/>
          <w:sz w:val="32"/>
        </w:rPr>
        <w:t>มาตรการที่ 1 — ทางลัดเลี้ยวขวาตัดใหม่ผ่านเกาะกลางถนนเศรษฐกิจ 1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ตัดเกาะกลางถนนเศรษฐกิจ 1 เปิดช่องเลี้ยวขวา 1 ช่องจราจร กว้าง 3.50 เมตร ความยาวช่วงตัดประมาณ 79 เมตร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เชื่อมจากถนนคู่ขนานเข้าสู่ถนนเศรษฐกิจ 1 ขาใต้ ที่ระยะประมาณ 387 เมตรจากจุดตัดหลัก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จัดให้มีช่องรอเลี้ยว (storage) ความยาวไม่น้อยกว่า 60 เมตร ตามปริมาณที่จำลองได้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ผลโดยตรง: รถที่เดิมต้องวนกลับรถ 211 เมตร เลี้ยวขวาได้ทันที แถวคอยที่จุดกลับรถลดจาก 267 เมตร เหลือ 0 เมตร</w:t>
      </w:r>
    </w:p>
    <w:p>
      <w:pPr>
        <w:spacing w:after="120"/>
        <w:jc w:val="both"/>
      </w:pPr>
      <w:r>
        <w:rPr>
          <w:rFonts w:ascii="TH Sarabun New" w:hAnsi="TH Sarabun New" w:cs="TH Sarabun New"/>
          <w:b/>
          <w:sz w:val="32"/>
        </w:rPr>
        <w:t>มาตรการที่ 2 — ตีเส้นทแยงบล็อกช่องจราจรก่อนจุดที่รถจากลูปกลับรถสมทบ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ตีเส้นทแยง (hatching) ปิดการใช้งานช่องจราจรริมซ้ายของถนนเศรษฐกิจ 1 ขาใต้ ตั้งแต่จุดตัดหลัก จนถึงจุดที่รถจากลูปกลับรถเข้าสมทบ ระยะประมาณ 74 เมตร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ผลคือรถจากลูปได้ช่องจราจรเฉพาะ ไม่ต้องเบียดเข้ากระแสหลักอย่างกะทันหัน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ผลเชิงปริมาณ: เหตุการณ์ตัดกระแสลดจาก 212 เหลือ 156 ครั้งต่อชั่วโมง (ลดลงร้อยละ 26 อย่างมีนัยสำคัญ) โดยความล่าช้าเพิ่มขึ้นเพียง 1.7 วินาทีต่อคัน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247796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hot_S7_cut_island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4779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8-1 ทางลัดเลี้ยวขวาตัดใหม่ในแบบจำลอง (S7)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760000" cy="247796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hot_S7_loop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47796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200"/>
        <w:jc w:val="center"/>
      </w:pPr>
      <w:r>
        <w:rPr>
          <w:rFonts w:ascii="TH Sarabun New" w:hAnsi="TH Sarabun New" w:cs="TH Sarabun New"/>
          <w:b w:val="0"/>
          <w:color w:val="555555"/>
          <w:sz w:val="28"/>
        </w:rPr>
        <w:t>รูปที่ 8-2 บริเวณลูปกลับรถและช่องจราจรที่กันไว้ให้รถจากลูป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8.2 เรขาคณิตที่ต้องออกแบบรายละเอียด 6 จุด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8-1 รายการเรขาคณิตที่ต้องออกแบบรายละเอียด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680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จุด</w:t>
            </w:r>
          </w:p>
        </w:tc>
        <w:tc>
          <w:tcPr>
            <w:tcW w:type="dxa" w:w="368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รายการที่ต้องออกแบบ</w:t>
            </w:r>
          </w:p>
        </w:tc>
        <w:tc>
          <w:tcPr>
            <w:tcW w:type="dxa" w:w="3969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ข้อกำหนดเบื้องต้น</w:t>
            </w:r>
          </w:p>
        </w:tc>
      </w:tr>
      <w:tr>
        <w:tc>
          <w:tcPr>
            <w:tcW w:type="dxa" w:w="680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</w:t>
            </w:r>
          </w:p>
        </w:tc>
        <w:tc>
          <w:tcPr>
            <w:tcW w:type="dxa" w:w="368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ช่องเปิดเกาะกลางสำหรับเลี้ยวขวา</w:t>
            </w:r>
          </w:p>
        </w:tc>
        <w:tc>
          <w:tcPr>
            <w:tcW w:type="dxa" w:w="3969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กว้าง 3.50 ม. รัศมีเลี้ยวขั้นต่ำ 12 ม. ตรวจระยะมองเห็น</w:t>
            </w:r>
          </w:p>
        </w:tc>
      </w:tr>
      <w:tr>
        <w:tc>
          <w:tcPr>
            <w:tcW w:type="dxa" w:w="680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</w:t>
            </w:r>
          </w:p>
        </w:tc>
        <w:tc>
          <w:tcPr>
            <w:tcW w:type="dxa" w:w="368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ช่องรอเลี้ยวขวาและช่วงชะลอ</w:t>
            </w:r>
          </w:p>
        </w:tc>
        <w:tc>
          <w:tcPr>
            <w:tcW w:type="dxa" w:w="3969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ช่องรอไม่น้อยกว่า 60 ม. ช่วงชะลอตามความเร็วออกแบบ 50 กม./ชม.</w:t>
            </w:r>
          </w:p>
        </w:tc>
      </w:tr>
      <w:tr>
        <w:tc>
          <w:tcPr>
            <w:tcW w:type="dxa" w:w="680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3</w:t>
            </w:r>
          </w:p>
        </w:tc>
        <w:tc>
          <w:tcPr>
            <w:tcW w:type="dxa" w:w="368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เส้นทแยงบล็อกช่องริมซ้าย</w:t>
            </w:r>
          </w:p>
        </w:tc>
        <w:tc>
          <w:tcPr>
            <w:tcW w:type="dxa" w:w="3969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ยาวประมาณ 74 ม. พร้อมหลักนำทางและตัวสะท้อนแสง</w:t>
            </w:r>
          </w:p>
        </w:tc>
      </w:tr>
      <w:tr>
        <w:tc>
          <w:tcPr>
            <w:tcW w:type="dxa" w:w="680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4</w:t>
            </w:r>
          </w:p>
        </w:tc>
        <w:tc>
          <w:tcPr>
            <w:tcW w:type="dxa" w:w="368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จุดสมทบของรถจากลูปกลับรถ</w:t>
            </w:r>
          </w:p>
        </w:tc>
        <w:tc>
          <w:tcPr>
            <w:tcW w:type="dxa" w:w="3969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ตรวจมุมสมทบและระยะมองเห็นหยุดรถ</w:t>
            </w:r>
          </w:p>
        </w:tc>
      </w:tr>
      <w:tr>
        <w:tc>
          <w:tcPr>
            <w:tcW w:type="dxa" w:w="680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</w:t>
            </w:r>
          </w:p>
        </w:tc>
        <w:tc>
          <w:tcPr>
            <w:tcW w:type="dxa" w:w="368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ป้ายจราจรและเครื่องหมายนำทาง</w:t>
            </w:r>
          </w:p>
        </w:tc>
        <w:tc>
          <w:tcPr>
            <w:tcW w:type="dxa" w:w="3969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ป้ายเตือนล่วงหน้า 150 / 100 / 50 ม. และป้ายบังคับ</w:t>
            </w:r>
          </w:p>
        </w:tc>
      </w:tr>
      <w:tr>
        <w:tc>
          <w:tcPr>
            <w:tcW w:type="dxa" w:w="680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6</w:t>
            </w:r>
          </w:p>
        </w:tc>
        <w:tc>
          <w:tcPr>
            <w:tcW w:type="dxa" w:w="368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ระบบระบายน้ำและไฟฟ้าแสงสว่าง</w:t>
            </w:r>
          </w:p>
        </w:tc>
        <w:tc>
          <w:tcPr>
            <w:tcW w:type="dxa" w:w="3969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ปรับบ่อพักตามแนวเกาะใหม่ ไฟฟ้าแสงสว่างครอบคลุมจุดตัด</w:t>
            </w:r>
          </w:p>
        </w:tc>
      </w:tr>
    </w:tbl>
    <w:p>
      <w:pPr>
        <w:spacing w:after="80"/>
      </w:pP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8.3 ประมาณการค่าก่อสร้าง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8-2 ประมาณการค่าก่อสร้างเบื้องต้น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4819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รายการ</w:t>
            </w:r>
          </w:p>
        </w:tc>
        <w:tc>
          <w:tcPr>
            <w:tcW w:type="dxa" w:w="181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ปริมาณงานโดยประมาณ</w:t>
            </w:r>
          </w:p>
        </w:tc>
        <w:tc>
          <w:tcPr>
            <w:tcW w:type="dxa" w:w="1814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ราคา (ล้านบาท)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งานเตรียมการ รื้อถอนเกาะกลางเดิม และงานจราจรชั่วคราว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0.80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งานดินและชั้นทางช่วงตัดใหม่ (ประมาณ 280 ตารางเมตร)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0.90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งานผิวทางแอสฟัลต์คอนกรีต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0.60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งานคันหินและปรับรูปเกาะกลางใหม่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0.90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งานระบบระบายน้ำและบ่อพัก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1.20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งานไฟฟ้าแสงสว่างบริเวณจุดตัด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1.40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งานป้ายจราจรและเครื่องหมายจราจร รวมเส้นทแยงบล็อกช่องจราจร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1.10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อุปกรณ์อำนวยความปลอดภัย (การ์ดเรล หลักนำทาง ตัวสะท้อนแสง)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0.90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งานจราจรระหว่างก่อสร้างและป้ายเตือน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เหมารวม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0.70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รวมค่างานโดยตรง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8.50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ค่าอำนวยการ กำไร และค่าเผื่อ (25 %)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2.12</w:t>
            </w:r>
          </w:p>
        </w:tc>
      </w:tr>
      <w:tr>
        <w:tc>
          <w:tcPr>
            <w:tcW w:type="dxa" w:w="4819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รวมทั้งสิ้น (ไม่รวมภาษีมูลค่าเพิ่มและค่าเวนคืน)</w:t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</w:r>
          </w:p>
        </w:tc>
        <w:tc>
          <w:tcPr>
            <w:tcW w:type="dxa" w:w="1814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10.62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หมายเหตุ: เป็นการประมาณระดับเบื้องต้น (order of magnitude) จากปริมาณงานหลัก ยังไม่รวมค่าเวนคืน งานรื้อย้ายสาธารณูปโภค และภาษีมูลค่าเพิ่ม ต้องจัดทำประมาณราคาตามราคากลางกรมทางหลวงในขั้นออกแบบรายละเอียด</w:t>
      </w: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8.4 แผนดำเนินการ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8-3 แผนดำเนินการ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2041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ขั้นตอน</w:t>
            </w:r>
          </w:p>
        </w:tc>
        <w:tc>
          <w:tcPr>
            <w:tcW w:type="dxa" w:w="1587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ระยะเวลา</w:t>
            </w:r>
          </w:p>
        </w:tc>
        <w:tc>
          <w:tcPr>
            <w:tcW w:type="dxa" w:w="5216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สาระสำคัญ</w:t>
            </w:r>
          </w:p>
        </w:tc>
      </w:tr>
      <w:tr>
        <w:tc>
          <w:tcPr>
            <w:tcW w:type="dxa" w:w="204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 สำรวจและปรับเทียบ</w:t>
            </w:r>
          </w:p>
        </w:tc>
        <w:tc>
          <w:tcPr>
            <w:tcW w:type="dxa" w:w="1587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เดือนที่ 1–2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นับปริมาณจราจรจริง 7 วัน วัดความเร็วและความยาวแถวคอย แล้วปรับเทียบแบบจำลองซ้ำ</w:t>
            </w:r>
          </w:p>
        </w:tc>
      </w:tr>
      <w:tr>
        <w:tc>
          <w:tcPr>
            <w:tcW w:type="dxa" w:w="204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2. ออกแบบรายละเอียด</w:t>
            </w:r>
          </w:p>
        </w:tc>
        <w:tc>
          <w:tcPr>
            <w:tcW w:type="dxa" w:w="1587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เดือนที่ 2–4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ออกแบบเรขาคณิต 6 จุด ตรวจเขตทาง ประสานตำแหน่งเสาและพื้นที่ก่อสร้างโครงการ M82</w:t>
            </w:r>
          </w:p>
        </w:tc>
      </w:tr>
      <w:tr>
        <w:tc>
          <w:tcPr>
            <w:tcW w:type="dxa" w:w="204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3. จัดซื้อจัดจ้าง</w:t>
            </w:r>
          </w:p>
        </w:tc>
        <w:tc>
          <w:tcPr>
            <w:tcW w:type="dxa" w:w="1587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เดือนที่ 4–6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จัดทำราคากลาง ประกาศประกวดราคา ลงนามสัญญา</w:t>
            </w:r>
          </w:p>
        </w:tc>
      </w:tr>
      <w:tr>
        <w:tc>
          <w:tcPr>
            <w:tcW w:type="dxa" w:w="204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4. ก่อสร้าง</w:t>
            </w:r>
          </w:p>
        </w:tc>
        <w:tc>
          <w:tcPr>
            <w:tcW w:type="dxa" w:w="1587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เดือนที่ 6–9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งานเกาะกลาง ผิวทาง ระบายน้ำ ไฟฟ้า ป้ายและเส้นจราจร</w:t>
            </w:r>
          </w:p>
        </w:tc>
      </w:tr>
      <w:tr>
        <w:tc>
          <w:tcPr>
            <w:tcW w:type="dxa" w:w="204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5. ติดตามผล</w:t>
            </w:r>
          </w:p>
        </w:tc>
        <w:tc>
          <w:tcPr>
            <w:tcW w:type="dxa" w:w="1587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เดือนที่ 9–21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เก็บข้อมูลปริมาณ ความเร็ว และอุบัติเหตุที่ 3 / 6 / 12 เดือน เทียบกับค่าที่จำลองไว้</w:t>
            </w:r>
          </w:p>
        </w:tc>
      </w:tr>
    </w:tbl>
    <w:p>
      <w:pPr>
        <w:spacing w:after="80"/>
      </w:pPr>
    </w:p>
    <w:p>
      <w:pPr>
        <w:spacing w:before="200" w:after="120"/>
      </w:pPr>
      <w:r>
        <w:rPr>
          <w:rFonts w:ascii="TH Sarabun New" w:hAnsi="TH Sarabun New" w:cs="TH Sarabun New"/>
          <w:b/>
          <w:color w:val="1F4E79"/>
          <w:sz w:val="36"/>
        </w:rPr>
        <w:t>8.5 การสื่อสารกับผู้ร้องเรียนและผู้ใช้ทาง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อธิบายว่าการปิดจุดตัดเดิมมีเหตุผลด้านความปลอดภัยที่ชัดเจน และมาตรการใหม่ไม่ได้เปิดจุดตัดเดิมกลับคืน แต่สร้างเส้นทางใหม่ที่ปลอดภัยกว่า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สื่อสารผลที่ผู้ใช้ทางจะได้รับเป็นตัวเลขที่เข้าใจง่าย: ไม่ต้องวนกลับรถ 211 เมตรอีกต่อไป และเวลาเดินทางเฉลี่ยลดลงประมาณ 66 วินาทีต่อคัน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แจ้งแผนก่อสร้างล่วงหน้าอย่างน้อย 2 สัปดาห์ พร้อมแผนผังการเบี่ยงจราจรระหว่างก่อสร้าง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เปิดเผยหน้าเว็บผลการจำลองให้ผู้ใช้ทางเข้าดูภาพเคลื่อนไหวของการจราจรแต่ละทางเลือกได้ด้วยตนเอง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9. ข้อจำกัดและงานที่ต้องดำเนินการต่อ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ยังไม่ได้ปรับเทียบแบบจำลองด้วยข้อมูลนับปริมาณและความเร็วในสนามของช่วงเวลาเดียวกัน ปริมาณจราจรมาจากค่า AADT ปีฐานแปลงด้วยตัวประกอบมาตรฐาน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ข้อมูลอุบัติเหตุมีถึงปี 2565 และอาจคาบเกี่ยวช่วงก่อน-หลังติดตั้งแบริเออร์ จึงยังไม่สามารถประเมินผลของแบริเออร์จากสถิติจริงได้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อัตราแปลงเหตุการณ์เกือบชนเป็นอุบัติเหตุเป็นการประมาณที่ปรับเทียบกับข้อมูลของพื้นที่นี้เท่านั้น ใช้เปรียบเทียบทางเลือกได้ แต่ไม่ใช่การพยากรณ์จำนวนอุบัติเหตุ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ค่าก่อสร้างเป็นการประมาณเบื้องต้น ต้องจัดทำตามราคากลางในขั้นออกแบบรายละเอียด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คะแนนความเข้ากันได้กับโครงการ M82 ประเมินจากตำแหน่งงานเทียบแนวโครงสร้าง ต้องตรวจสอบกับแบบก่อสร้างจริง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ยังไม่ได้ทดสอบมาตรการควบคุมด้วยสัญญาณไฟ เนื่องจากต้องใช้ไฟล์ควบคุมภายนอกของ Vissim อย่างไรก็ตาม การคำนวณความจุชี้ว่าปริมาณที่จุดดังกล่าวสูงเกินกว่าจะใช้การควบคุมแบบหยุดรอได้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ภาพเคลื่อนไหวบนหน้าเว็บแสดงผลของ seed เดียว ขณะที่ตัวเลขทุกตารางเป็นค่าเฉลี่ย 10 seeds</w:t>
      </w:r>
    </w:p>
    <w:p>
      <w:r>
        <w:br w:type="page"/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ภาคผนวก ก — สมมติฐานหลัก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ก-1 สมมติฐานหลักที่ใช้ในแบบจำลอง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230"/>
        <w:gridCol w:w="3230"/>
        <w:gridCol w:w="3230"/>
      </w:tblGrid>
      <w:tr>
        <w:tc>
          <w:tcPr>
            <w:tcW w:type="dxa" w:w="3118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หัวข้อ</w:t>
            </w:r>
          </w:p>
        </w:tc>
        <w:tc>
          <w:tcPr>
            <w:tcW w:type="dxa" w:w="2835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ค่าที่ใช้</w:t>
            </w:r>
          </w:p>
        </w:tc>
        <w:tc>
          <w:tcPr>
            <w:tcW w:type="dxa" w:w="2948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ที่มา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ตัวประกอบชั่วโมงเร่งด่วน K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0.08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ค่ามาตรฐานงานวิเคราะห์จราจร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ตัวประกอบทิศทาง D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0.55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ค่ามาตรฐานงานวิเคราะห์จราจร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ความกว้างช่องจราจร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3.5 ม.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ROADNET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เวลาจำลองต่อรอบ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4,500 วินาที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กำหนดโดยผู้ศึกษา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จำนวน seeds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10 (42–51)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กำหนดโดยผู้ศึกษา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เกณฑ์ TTC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1.5 วินาที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FHWA SSAM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เกณฑ์ PET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5.0 วินาที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FHWA SSAM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เกณฑ์กรองแถวคอย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ความเร็วสูงสุดของคู่ ≥ 10.0 กม./ชม.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กำหนดโดยผู้ศึกษา</w:t>
            </w:r>
          </w:p>
        </w:tc>
      </w:tr>
      <w:tr>
        <w:tc>
          <w:tcPr>
            <w:tcW w:type="dxa" w:w="3118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อุบัติเหตุจริงที่ใช้ปรับเทียบ</w:t>
            </w:r>
          </w:p>
        </w:tc>
        <w:tc>
          <w:tcPr>
            <w:tcW w:type="dxa" w:w="2835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6.2 ครั้ง/ปี</w:t>
            </w:r>
          </w:p>
        </w:tc>
        <w:tc>
          <w:tcPr>
            <w:tcW w:type="dxa" w:w="2948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v_acccase 2561–2565 รัศมี 400 ม.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สมมติฐานทั้งหมดถูกเก็บไว้ในไฟล์ config/assumptions.yaml ไฟล์เดียว และไม่มีการกำหนดค่าคงที่ในโปรแกรม ทำให้ทุกตัวเลขในรายงานนี้ตรวจสอบย้อนกลับได้</w:t>
      </w:r>
    </w:p>
    <w:p>
      <w:pPr>
        <w:spacing w:after="120"/>
        <w:jc w:val="both"/>
      </w:pPr>
      <w:r>
        <w:rPr>
          <w:rFonts w:ascii="TH Sarabun New" w:hAnsi="TH Sarabun New" w:cs="TH Sarabun New"/>
          <w:b/>
          <w:sz w:val="32"/>
        </w:rPr>
        <w:t>สมมติฐานของคะแนนดุลพินิจในตารางตัดสินใจ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0"/>
        </w:rPr>
        <w:t>ค่าก่อสร้างเป็นการประมาณระดับ order-of-magnitude (ล้านบาท) จากปริมาณงานผิวทาง/เกาะกลาง/ป้าย-เส้น ยังไม่รวมเวนคืนและงานระบบ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0"/>
        </w:rPr>
        <w:t>คะแนนผลกระทบผู้ใช้พิจารณาจากกลุ่มที่เดินทางไกลขึ้นหรือช้าลงในผลจำลอง (เช่น OD-b ของ S2/S3)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0"/>
        </w:rPr>
        <w:t>คะแนนความเข้ากันได้กับ M82 พิจารณาจากตำแหน่งงานเทียบแนว M82 ที่คร่อม ทล.35 — มาตรการที่อยู่บน ทล.3091 ได้คะแนนสูง ส่วนมาตรการที่แตะจุดเบียดบนทางขนาน ทล.35 ได้คะแนนต่ำ ต้องตรวจกับแบบ M82 จริง</w:t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ภาคผนวก ข — ผลรายละเอียดและไฟล์ข้อมูล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ข-1 ไฟล์ผลลัพธ์ประกอบรายงาน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44"/>
        <w:gridCol w:w="4844"/>
      </w:tblGrid>
      <w:tr>
        <w:tc>
          <w:tcPr>
            <w:tcW w:type="dxa" w:w="3685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ไฟล์</w:t>
            </w:r>
          </w:p>
        </w:tc>
        <w:tc>
          <w:tcPr>
            <w:tcW w:type="dxa" w:w="5216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เนื้อหา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results/kpi_summary.csv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ตัวชี้วัดจราจรทุกตัว ทุกสถานการณ์ พร้อมช่วงเชื่อมั่น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results/safety_summary.csv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ตัวชี้วัดความปลอดภัยสรุปรายสถานการณ์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results/safety_per_seed.csv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ผลความปลอดภัยราย seed (90 รอบ)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results/queue_fzp.csv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แถวคอยที่วัดจากวิถีรถจริง ราย seed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results/decision_matrix.csv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ตารางตัดสินใจพร้อมคะแนนดิบ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results/conflicts_&lt;สถานการณ์&gt;_seed42.csv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ตำแหน่งและคุณสมบัติของเหตุการณ์เกือบชนทุกครั้ง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web (เว็บรายงาน)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ภาพเคลื่อนไหวการจราจรจากวิถีรถจริง เปรียบเทียบได้ทุกสถานการณ์</w:t>
            </w:r>
          </w:p>
        </w:tc>
      </w:tr>
    </w:tbl>
    <w:p>
      <w:pPr>
        <w:spacing w:after="80"/>
      </w:pP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0"/>
        </w:rPr>
        <w:t>หน้าเว็บรายงาน: https://rama2-traffic35.siwa-civil.workers.dev</w:t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ภาคผนวก ค — บันทึกการปรับเทียบพฤติกรรมแบบจำลอง</w:t>
      </w:r>
    </w:p>
    <w:p>
      <w:pPr>
        <w:spacing w:after="120"/>
        <w:jc w:val="both"/>
      </w:pPr>
      <w:r>
        <w:rPr>
          <w:rFonts w:ascii="TH Sarabun New" w:hAnsi="TH Sarabun New" w:cs="TH Sarabun New"/>
          <w:b w:val="0"/>
          <w:sz w:val="32"/>
        </w:rPr>
        <w:t>บันทึกการเปลี่ยนพารามิเตอร์ทุกครั้งถูกเก็บอัตโนมัติไว้ที่ logs/calibration_log.md สาระสำคัญของการปรับเทียบครั้งล่าสุดมีดังนี้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ผู้เชี่ยวชาญพื้นที่ตรวจภาพเคลื่อนไหวแล้วชี้ว่ารถในแบบจำลองจอดนิ่งรอสอดเข้าช่องนานเกินจริง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วัดจากวิถีรถจริง: ร้อยละ 78 ของรถจอดนิ่งก่อนจุดเบียด ค่ามัธยฐาน 11.8 วินาที สูงสุด 34 วินาที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ตรวจพบว่าพารามิเตอร์ที่ควบคุมอาการนี้คือเกณฑ์ยอมรับช่องว่างที่จุดตัด ไม่ใช่พารามิเตอร์การเปลี่ยนช่องจราจร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ปรับค่าตามตารางที่ 6-1 แล้ววัดซ้ำ ค่ามัธยฐานลดเหลือ 9.4 วินาที และสัดส่วนที่รอเกิน 10 วินาที ลดจากร้อยละ 54 เหลือร้อยละ 31</w:t>
      </w:r>
    </w:p>
    <w:p>
      <w:pPr>
        <w:pStyle w:val="ListNumber"/>
        <w:spacing w:after="60"/>
        <w:ind w:left="454"/>
      </w:pPr>
      <w:r>
        <w:rPr>
          <w:rFonts w:ascii="TH Sarabun New" w:hAnsi="TH Sarabun New" w:cs="TH Sarabun New"/>
          <w:sz w:val="32"/>
        </w:rPr>
        <w:t>ทดลองอนุญาตให้รถทางรองแทรกจนขวางกระแสหลัก แล้วเกิดการล็อกตายทั้งทางแยก ความล่าช้าเพิ่มจาก 28 เป็น 57 วินาทีต่อคัน จึงไม่ใช้ค่าดังกล่าว</w:t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ภาคผนวก ง — วิธีคำนวณตัวชี้วัดความปลอดภัย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อ่านวิถีรถทุกคันทุก 0.2 วินาทีจากไฟล์ผลของ Vissim ในรัศมี 400 เมตรรอบจุดตัด เฉพาะช่วง 15 นาทีที่หนาแน่นที่สุด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คัดกรองคู่รถด้วยระยะห่าง ความต่างระดับ และความเร็ว ก่อนคำนวณเวลาถึงจุดชนจริง เพื่อให้ประมวลผลข้อมูลกว่าสองล้านแถวต่อรอบได้ในเวลาที่ยอมรับได้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แยกการคำนวณสองแบบ: คู่ที่วิ่งตามกันใช้เวลาถึงจุดชนตามแนวเส้นทาง ส่วนคู่ที่ตัดกัน ใช้การฉายรูปสี่เหลี่ยมของตัวรถไปข้างหน้าตามเวลาแล้วตรวจการทับซ้อน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ตัดคู่ที่อยู่ต่างระดับกัน (สะพานข้ามทางแยก) ออกเสมอ เพราะเครื่องมือมาตรฐานทำงานสองมิติ และจะนับคู่ที่ไม่ได้อยู่ระนาบเดียวกันผิดพลาด ในพื้นที่นี้คิดเป็นประมาณร้อยละ 37 ของคู่ที่เข้าใกล้กัน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คำนวณเวลาผ่านจุดเดียวกัน (PET) ด้วยตารางเซลขนาด 2 เมตร แยกชั้นตามระดับความสูง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ทิศหัวรถคำนวณจากการเคลื่อนที่จริงของจุดหน้ารถ ไม่ใช้พิกัดท้ายรถที่โปรแกรมรายงาน เพราะที่รอยต่อถนนค่าดังกล่าวคลาดเคลื่อนได้ถึง 176 องศา</w:t>
      </w:r>
    </w:p>
    <w:p>
      <w:pPr>
        <w:pStyle w:val="ListBullet"/>
        <w:spacing w:after="60"/>
        <w:ind w:left="454"/>
      </w:pPr>
      <w:r>
        <w:rPr>
          <w:rFonts w:ascii="TH Sarabun New" w:hAnsi="TH Sarabun New" w:cs="TH Sarabun New"/>
          <w:sz w:val="32"/>
        </w:rPr>
        <w:t>เก็บไฟล์วิถีรถของ seed แรกในรูปแบบที่เปิดด้วยโปรแกรม SSAM ได้ เพื่อการตรวจสอบซ้ำโดยบุคคลที่สาม</w:t>
      </w:r>
    </w:p>
    <w:p>
      <w:pPr>
        <w:spacing w:before="280" w:after="120"/>
      </w:pPr>
      <w:r>
        <w:rPr>
          <w:rFonts w:ascii="TH Sarabun New" w:hAnsi="TH Sarabun New" w:cs="TH Sarabun New"/>
          <w:b/>
          <w:color w:val="0B4F71"/>
          <w:sz w:val="40"/>
        </w:rPr>
        <w:t>ภาคผนวก จ — ที่มาข้อมูลและเครื่องมือ</w:t>
      </w:r>
    </w:p>
    <w:p>
      <w:pPr>
        <w:spacing w:after="60"/>
      </w:pPr>
      <w:r>
        <w:rPr>
          <w:rFonts w:ascii="TH Sarabun New" w:hAnsi="TH Sarabun New" w:cs="TH Sarabun New"/>
          <w:b/>
          <w:color w:val="1F4E79"/>
          <w:sz w:val="30"/>
        </w:rPr>
        <w:t>ตารางที่ จ-1 ที่มาข้อมูลและเครื่องมือ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44"/>
        <w:gridCol w:w="4844"/>
      </w:tblGrid>
      <w:tr>
        <w:tc>
          <w:tcPr>
            <w:tcW w:type="dxa" w:w="3685"/>
            <w:shd w:fill="DCE6F1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รายการ</w:t>
            </w:r>
          </w:p>
        </w:tc>
        <w:tc>
          <w:tcPr>
            <w:tcW w:type="dxa" w:w="5216"/>
            <w:shd w:fill="DCE6F1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/>
                <w:sz w:val="26"/>
              </w:rPr>
              <w:t>แหล่งที่มา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ปริมาณจราจร ขนาดทาง เขตทาง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ชั้นข้อมูล ROADNET กรมทางหลวง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ข้อมูลอุบัติเหตุ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ชั้นข้อมูล v_acccase ปี 2561-2565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เรขาคณิตถนนและทิศทางเดินรถ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OpenStreetMap ตรวจสอบกับภาพถ่ายดาวเทียมและ Street View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ภาพถ่ายดาวเทียมพื้นหลัง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Microsoft Bing Maps (Maxar, Airbus DS)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โปรแกรมจำลอง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PTV Vissim 2025 (25.00-10) ควบคุมผ่าน COM</w:t>
            </w:r>
          </w:p>
        </w:tc>
      </w:tr>
      <w:tr>
        <w:tc>
          <w:tcPr>
            <w:tcW w:type="dxa" w:w="3685"/>
          </w:tcPr>
          <w:p>
            <w:pPr>
              <w:spacing w:after="40"/>
              <w:jc w:val="left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ตัวชี้วัดความปลอดภัย</w:t>
            </w:r>
          </w:p>
        </w:tc>
        <w:tc>
          <w:tcPr>
            <w:tcW w:type="dxa" w:w="5216"/>
          </w:tcPr>
          <w:p>
            <w:pPr>
              <w:spacing w:after="40"/>
              <w:jc w:val="center"/>
            </w:pPr>
            <w:r/>
            <w:r>
              <w:rPr>
                <w:rFonts w:ascii="TH Sarabun New" w:hAnsi="TH Sarabun New" w:cs="TH Sarabun New"/>
                <w:b w:val="0"/>
                <w:sz w:val="26"/>
              </w:rPr>
              <w:t>นิยามตาม FHWA SSAM (FHWA-HRT-08-051)</w:t>
            </w:r>
          </w:p>
        </w:tc>
      </w:tr>
    </w:tbl>
    <w:p>
      <w:pPr>
        <w:spacing w:after="80"/>
      </w:pPr>
    </w:p>
    <w:sectPr w:rsidR="00FC693F" w:rsidRPr="0006063C" w:rsidSect="00034616">
      <w:footerReference w:type="default" r:id="rId9"/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H Sarabun New" w:hAnsi="TH Sarabun New"/>
        <w:sz w:val="2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H Sarabun New" w:hAnsi="TH Sarabun New" w:cs="TH Sarabun New" w:eastAsia="TH Sarabun New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